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11CFB" w14:textId="70CBD45A" w:rsidR="006C5995" w:rsidRDefault="006C5995" w:rsidP="004657CE">
      <w:pPr>
        <w:ind w:firstLine="0"/>
        <w:rPr>
          <w:rFonts w:ascii="Times New Roman" w:hAnsi="Times New Roman" w:cs="Times New Roman"/>
          <w:sz w:val="24"/>
          <w:szCs w:val="24"/>
        </w:rPr>
      </w:pPr>
    </w:p>
    <w:p w14:paraId="569E69E5" w14:textId="165150EF" w:rsidR="003B24EE" w:rsidRDefault="003B24EE" w:rsidP="004657CE">
      <w:pPr>
        <w:ind w:firstLine="0"/>
        <w:rPr>
          <w:rFonts w:ascii="Times New Roman" w:hAnsi="Times New Roman" w:cs="Times New Roman"/>
          <w:sz w:val="24"/>
          <w:szCs w:val="24"/>
        </w:rPr>
      </w:pPr>
    </w:p>
    <w:p w14:paraId="489A9307" w14:textId="6D0741D7" w:rsidR="003B24EE" w:rsidRDefault="003B24EE" w:rsidP="004657CE">
      <w:pPr>
        <w:ind w:firstLine="0"/>
        <w:rPr>
          <w:rFonts w:ascii="Times New Roman" w:hAnsi="Times New Roman" w:cs="Times New Roman"/>
          <w:sz w:val="24"/>
          <w:szCs w:val="24"/>
        </w:rPr>
      </w:pPr>
    </w:p>
    <w:p w14:paraId="4A75CE30" w14:textId="2473F5A9" w:rsidR="003B24EE" w:rsidRDefault="003B24EE" w:rsidP="004657CE">
      <w:pPr>
        <w:ind w:firstLine="0"/>
        <w:rPr>
          <w:rFonts w:ascii="Times New Roman" w:hAnsi="Times New Roman" w:cs="Times New Roman"/>
          <w:sz w:val="24"/>
          <w:szCs w:val="24"/>
        </w:rPr>
      </w:pPr>
    </w:p>
    <w:p w14:paraId="0FA40F4B" w14:textId="6359A50D" w:rsidR="003B24EE" w:rsidRDefault="00266A8D" w:rsidP="003B24EE">
      <w:pPr>
        <w:ind w:firstLine="0"/>
        <w:jc w:val="center"/>
        <w:rPr>
          <w:rFonts w:ascii="Times New Roman" w:hAnsi="Times New Roman" w:cs="Times New Roman"/>
          <w:sz w:val="24"/>
          <w:szCs w:val="24"/>
        </w:rPr>
      </w:pPr>
      <w:r w:rsidRPr="003B24EE">
        <w:rPr>
          <w:rFonts w:ascii="Times New Roman" w:hAnsi="Times New Roman" w:cs="Times New Roman"/>
          <w:sz w:val="24"/>
          <w:szCs w:val="24"/>
        </w:rPr>
        <w:t>Employment Law</w:t>
      </w:r>
    </w:p>
    <w:p w14:paraId="011DC881" w14:textId="6EA1BC1A" w:rsidR="003B24EE" w:rsidRDefault="003B24EE" w:rsidP="003B24EE">
      <w:pPr>
        <w:ind w:firstLine="0"/>
        <w:jc w:val="center"/>
        <w:rPr>
          <w:rFonts w:ascii="Times New Roman" w:hAnsi="Times New Roman" w:cs="Times New Roman"/>
          <w:sz w:val="24"/>
          <w:szCs w:val="24"/>
        </w:rPr>
      </w:pPr>
    </w:p>
    <w:p w14:paraId="4DBA16F9" w14:textId="41CDD93E" w:rsidR="003B24EE" w:rsidRDefault="00266A8D" w:rsidP="003B24EE">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6E55CA89" w14:textId="197C6808" w:rsidR="003B24EE" w:rsidRDefault="00266A8D" w:rsidP="003B24EE">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54AFB87F" w14:textId="7B6DEA0F" w:rsidR="00195AAB" w:rsidRDefault="00266A8D" w:rsidP="003B24EE">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42B94EC4" w14:textId="4A042DE4" w:rsidR="00195AAB" w:rsidRDefault="00266A8D" w:rsidP="003B24EE">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1D616E4E" w14:textId="1EEC9670" w:rsidR="00195AAB" w:rsidRDefault="00266A8D" w:rsidP="003B24EE">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75541BF4" w14:textId="36C1549B" w:rsidR="00195AAB" w:rsidRDefault="00266A8D">
      <w:pPr>
        <w:rPr>
          <w:rFonts w:ascii="Times New Roman" w:hAnsi="Times New Roman" w:cs="Times New Roman"/>
          <w:sz w:val="24"/>
          <w:szCs w:val="24"/>
        </w:rPr>
      </w:pPr>
      <w:r>
        <w:rPr>
          <w:rFonts w:ascii="Times New Roman" w:hAnsi="Times New Roman" w:cs="Times New Roman"/>
          <w:sz w:val="24"/>
          <w:szCs w:val="24"/>
        </w:rPr>
        <w:br w:type="page"/>
      </w:r>
    </w:p>
    <w:p w14:paraId="08461FD1" w14:textId="77777777" w:rsidR="00195AAB" w:rsidRPr="00195AAB" w:rsidRDefault="00266A8D" w:rsidP="00195AAB">
      <w:pPr>
        <w:ind w:firstLine="0"/>
        <w:jc w:val="center"/>
        <w:rPr>
          <w:rFonts w:ascii="Times New Roman" w:hAnsi="Times New Roman" w:cs="Times New Roman"/>
          <w:b/>
          <w:bCs/>
          <w:sz w:val="24"/>
          <w:szCs w:val="24"/>
        </w:rPr>
      </w:pPr>
      <w:r w:rsidRPr="00195AAB">
        <w:rPr>
          <w:rFonts w:ascii="Times New Roman" w:hAnsi="Times New Roman" w:cs="Times New Roman"/>
          <w:b/>
          <w:bCs/>
          <w:sz w:val="24"/>
          <w:szCs w:val="24"/>
        </w:rPr>
        <w:lastRenderedPageBreak/>
        <w:t>Employment Law</w:t>
      </w:r>
    </w:p>
    <w:p w14:paraId="31D7869E" w14:textId="1EE147BC" w:rsidR="00195AAB" w:rsidRDefault="00266A8D" w:rsidP="00E34331">
      <w:pPr>
        <w:rPr>
          <w:rFonts w:ascii="Times New Roman" w:hAnsi="Times New Roman" w:cs="Times New Roman"/>
          <w:sz w:val="24"/>
          <w:szCs w:val="24"/>
        </w:rPr>
      </w:pPr>
      <w:r>
        <w:rPr>
          <w:rFonts w:ascii="Times New Roman" w:hAnsi="Times New Roman" w:cs="Times New Roman"/>
          <w:sz w:val="24"/>
          <w:szCs w:val="24"/>
        </w:rPr>
        <w:t>I</w:t>
      </w:r>
      <w:r w:rsidRPr="00195AAB">
        <w:rPr>
          <w:rFonts w:ascii="Times New Roman" w:hAnsi="Times New Roman" w:cs="Times New Roman"/>
          <w:sz w:val="24"/>
          <w:szCs w:val="24"/>
        </w:rPr>
        <w:t>n the case of Riser v. QEP Energy</w:t>
      </w:r>
      <w:r>
        <w:rPr>
          <w:rFonts w:ascii="Times New Roman" w:hAnsi="Times New Roman" w:cs="Times New Roman"/>
          <w:sz w:val="24"/>
          <w:szCs w:val="24"/>
        </w:rPr>
        <w:t xml:space="preserve">, some issues arise that entail </w:t>
      </w:r>
      <w:r w:rsidR="004F5622">
        <w:rPr>
          <w:rFonts w:ascii="Times New Roman" w:hAnsi="Times New Roman" w:cs="Times New Roman"/>
          <w:sz w:val="24"/>
          <w:szCs w:val="24"/>
        </w:rPr>
        <w:t xml:space="preserve">discrimination that concerns gender and equal pay. The main factors presented here were unfair termination and losing her job position to other male colleagues who were promoted. Mrs. </w:t>
      </w:r>
      <w:r w:rsidR="007E21C7">
        <w:rPr>
          <w:rFonts w:ascii="Times New Roman" w:hAnsi="Times New Roman" w:cs="Times New Roman"/>
          <w:sz w:val="24"/>
          <w:szCs w:val="24"/>
        </w:rPr>
        <w:t xml:space="preserve">Riser Kathy argues that the reason for the discrimination is gender. The discrimination also prompted the denial of her request to have her salary increased. She believed that the salary she was paid did not rhyme with her job position. For this reason, she believed that her low pay </w:t>
      </w:r>
      <w:r w:rsidR="00C13E30">
        <w:rPr>
          <w:rFonts w:ascii="Times New Roman" w:hAnsi="Times New Roman" w:cs="Times New Roman"/>
          <w:sz w:val="24"/>
          <w:szCs w:val="24"/>
        </w:rPr>
        <w:t>resulted from the fact that she was a female. Although the energy company listened and acknowledged Mrs. Riser's complaint, they highlighted that the two had been assigned some other duties</w:t>
      </w:r>
      <w:r w:rsidR="00507A4E">
        <w:rPr>
          <w:rFonts w:ascii="Times New Roman" w:hAnsi="Times New Roman" w:cs="Times New Roman"/>
          <w:sz w:val="24"/>
          <w:szCs w:val="24"/>
        </w:rPr>
        <w:t xml:space="preserve"> </w:t>
      </w:r>
      <w:r w:rsidR="00507A4E" w:rsidRPr="00507A4E">
        <w:rPr>
          <w:rFonts w:ascii="Times New Roman" w:hAnsi="Times New Roman" w:cs="Times New Roman"/>
          <w:sz w:val="24"/>
          <w:szCs w:val="24"/>
        </w:rPr>
        <w:t>(Walsh, 2019)</w:t>
      </w:r>
      <w:r w:rsidR="00C13E30">
        <w:rPr>
          <w:rFonts w:ascii="Times New Roman" w:hAnsi="Times New Roman" w:cs="Times New Roman"/>
          <w:sz w:val="24"/>
          <w:szCs w:val="24"/>
        </w:rPr>
        <w:t xml:space="preserve">. </w:t>
      </w:r>
    </w:p>
    <w:p w14:paraId="69538F3B" w14:textId="302EFF6C" w:rsidR="003C30E2" w:rsidRDefault="00266A8D" w:rsidP="00195AAB">
      <w:pPr>
        <w:ind w:firstLine="0"/>
        <w:rPr>
          <w:rFonts w:ascii="Times New Roman" w:hAnsi="Times New Roman" w:cs="Times New Roman"/>
          <w:b/>
          <w:bCs/>
          <w:sz w:val="24"/>
          <w:szCs w:val="24"/>
        </w:rPr>
      </w:pPr>
      <w:r w:rsidRPr="003C30E2">
        <w:rPr>
          <w:rFonts w:ascii="Times New Roman" w:hAnsi="Times New Roman" w:cs="Times New Roman"/>
          <w:b/>
          <w:bCs/>
          <w:sz w:val="24"/>
          <w:szCs w:val="24"/>
        </w:rPr>
        <w:t xml:space="preserve">The legal issues presented in this case? Did the plaintiff establish a valid prima facie </w:t>
      </w:r>
      <w:r w:rsidRPr="003C30E2">
        <w:rPr>
          <w:rFonts w:ascii="Times New Roman" w:hAnsi="Times New Roman" w:cs="Times New Roman"/>
          <w:b/>
          <w:bCs/>
          <w:sz w:val="24"/>
          <w:szCs w:val="24"/>
        </w:rPr>
        <w:t>case of pay discrimination? Was there a basis for equal work? On what factors did the appeals court base its decision?</w:t>
      </w:r>
    </w:p>
    <w:p w14:paraId="398F3AE9" w14:textId="4B3C9876" w:rsidR="003C30E2" w:rsidRDefault="00266A8D" w:rsidP="00195AAB">
      <w:pPr>
        <w:ind w:firstLine="0"/>
        <w:rPr>
          <w:rFonts w:ascii="Times New Roman" w:hAnsi="Times New Roman" w:cs="Times New Roman"/>
          <w:sz w:val="24"/>
          <w:szCs w:val="24"/>
        </w:rPr>
      </w:pPr>
      <w:r>
        <w:rPr>
          <w:rFonts w:ascii="Times New Roman" w:hAnsi="Times New Roman" w:cs="Times New Roman"/>
          <w:sz w:val="24"/>
          <w:szCs w:val="24"/>
        </w:rPr>
        <w:tab/>
        <w:t xml:space="preserve">Despite that </w:t>
      </w:r>
      <w:r w:rsidR="00254F5B">
        <w:rPr>
          <w:rFonts w:ascii="Times New Roman" w:hAnsi="Times New Roman" w:cs="Times New Roman"/>
          <w:sz w:val="24"/>
          <w:szCs w:val="24"/>
        </w:rPr>
        <w:t xml:space="preserve">the case did not favor her at first, there are various legal issues that this case presents. The plaintiff never established any valid prima facie concerning discrimination on payments. The prima facie was found in the appeal. </w:t>
      </w:r>
      <w:r w:rsidR="00B14333">
        <w:rPr>
          <w:rFonts w:ascii="Times New Roman" w:hAnsi="Times New Roman" w:cs="Times New Roman"/>
          <w:sz w:val="24"/>
          <w:szCs w:val="24"/>
        </w:rPr>
        <w:t xml:space="preserve">This was because, in the whole case, the tenure and pay grades system was presented by the QEP. The plaintiff lacked valid </w:t>
      </w:r>
      <w:r w:rsidR="00A711FF">
        <w:rPr>
          <w:rFonts w:ascii="Times New Roman" w:hAnsi="Times New Roman" w:cs="Times New Roman"/>
          <w:sz w:val="24"/>
          <w:szCs w:val="24"/>
        </w:rPr>
        <w:t>evidence for facing discrimination based on gender or age. According to the pay grade system, her grade was lower (</w:t>
      </w:r>
      <w:r w:rsidR="00FB50A2">
        <w:rPr>
          <w:rFonts w:ascii="Times New Roman" w:hAnsi="Times New Roman" w:cs="Times New Roman"/>
          <w:sz w:val="24"/>
          <w:szCs w:val="24"/>
        </w:rPr>
        <w:t>two</w:t>
      </w:r>
      <w:r w:rsidR="00A711FF">
        <w:rPr>
          <w:rFonts w:ascii="Times New Roman" w:hAnsi="Times New Roman" w:cs="Times New Roman"/>
          <w:sz w:val="24"/>
          <w:szCs w:val="24"/>
        </w:rPr>
        <w:t>) than the higher grade of the other gentlemen, which was seven</w:t>
      </w:r>
      <w:r w:rsidR="00507A4E" w:rsidRPr="00507A4E">
        <w:rPr>
          <w:rFonts w:ascii="Times New Roman" w:hAnsi="Times New Roman" w:cs="Times New Roman"/>
          <w:sz w:val="24"/>
          <w:szCs w:val="24"/>
        </w:rPr>
        <w:t xml:space="preserve"> </w:t>
      </w:r>
      <w:r w:rsidR="00507A4E">
        <w:rPr>
          <w:rFonts w:ascii="Times New Roman" w:hAnsi="Times New Roman" w:cs="Times New Roman"/>
          <w:sz w:val="24"/>
          <w:szCs w:val="24"/>
        </w:rPr>
        <w:t>(</w:t>
      </w:r>
      <w:r w:rsidR="00507A4E" w:rsidRPr="00507A4E">
        <w:rPr>
          <w:rFonts w:ascii="Times New Roman" w:hAnsi="Times New Roman" w:cs="Times New Roman"/>
          <w:sz w:val="24"/>
          <w:szCs w:val="24"/>
        </w:rPr>
        <w:t>RISER v. QEP ENERGY</w:t>
      </w:r>
      <w:r w:rsidR="00507A4E">
        <w:rPr>
          <w:rFonts w:ascii="Times New Roman" w:hAnsi="Times New Roman" w:cs="Times New Roman"/>
          <w:sz w:val="24"/>
          <w:szCs w:val="24"/>
        </w:rPr>
        <w:t>)</w:t>
      </w:r>
      <w:r w:rsidR="00A711FF">
        <w:rPr>
          <w:rFonts w:ascii="Times New Roman" w:hAnsi="Times New Roman" w:cs="Times New Roman"/>
          <w:sz w:val="24"/>
          <w:szCs w:val="24"/>
        </w:rPr>
        <w:t>.</w:t>
      </w:r>
      <w:r w:rsidR="00FB50A2">
        <w:rPr>
          <w:rFonts w:ascii="Times New Roman" w:hAnsi="Times New Roman" w:cs="Times New Roman"/>
          <w:sz w:val="24"/>
          <w:szCs w:val="24"/>
        </w:rPr>
        <w:t xml:space="preserve"> There was no basis for equal work. The two gentlemen that took up Mrs. Riser's position had more tasks than her. Despite that she said that she had performed additional work beyond her responsibilities</w:t>
      </w:r>
      <w:r w:rsidR="003928D8">
        <w:rPr>
          <w:rFonts w:ascii="Times New Roman" w:hAnsi="Times New Roman" w:cs="Times New Roman"/>
          <w:sz w:val="24"/>
          <w:szCs w:val="24"/>
        </w:rPr>
        <w:t xml:space="preserve">. It was not her obligation. The court's decision was solely based on the fixed payments grading system that QEP provided. </w:t>
      </w:r>
      <w:r w:rsidR="00CC4617">
        <w:rPr>
          <w:rFonts w:ascii="Times New Roman" w:hAnsi="Times New Roman" w:cs="Times New Roman"/>
          <w:sz w:val="24"/>
          <w:szCs w:val="24"/>
        </w:rPr>
        <w:t xml:space="preserve">They deserved to be paid highly because </w:t>
      </w:r>
      <w:r w:rsidR="00CC4617">
        <w:rPr>
          <w:rFonts w:ascii="Times New Roman" w:hAnsi="Times New Roman" w:cs="Times New Roman"/>
          <w:sz w:val="24"/>
          <w:szCs w:val="24"/>
        </w:rPr>
        <w:lastRenderedPageBreak/>
        <w:t xml:space="preserve">of their level of the pay grade system. This was the case until the appeal realized that the grading of the plaintiff was unfair. </w:t>
      </w:r>
    </w:p>
    <w:p w14:paraId="6B5D0BD7" w14:textId="5BABC1F5" w:rsidR="00CC4617" w:rsidRDefault="00E659EE" w:rsidP="00AF4719">
      <w:pPr>
        <w:ind w:firstLine="0"/>
        <w:jc w:val="center"/>
        <w:rPr>
          <w:rFonts w:ascii="Times New Roman" w:hAnsi="Times New Roman" w:cs="Times New Roman"/>
          <w:b/>
          <w:bCs/>
          <w:sz w:val="24"/>
          <w:szCs w:val="24"/>
        </w:rPr>
      </w:pPr>
      <w:r>
        <w:rPr>
          <w:rFonts w:ascii="Times New Roman" w:hAnsi="Times New Roman" w:cs="Times New Roman"/>
          <w:b/>
          <w:bCs/>
          <w:sz w:val="24"/>
          <w:szCs w:val="24"/>
        </w:rPr>
        <w:t>Why</w:t>
      </w:r>
      <w:r w:rsidR="00AF4719" w:rsidRPr="00AF4719">
        <w:rPr>
          <w:rFonts w:ascii="Times New Roman" w:hAnsi="Times New Roman" w:cs="Times New Roman"/>
          <w:b/>
          <w:bCs/>
          <w:sz w:val="24"/>
          <w:szCs w:val="24"/>
        </w:rPr>
        <w:t xml:space="preserve"> the </w:t>
      </w:r>
      <w:r w:rsidR="00266A8D" w:rsidRPr="00AF4719">
        <w:rPr>
          <w:rFonts w:ascii="Times New Roman" w:hAnsi="Times New Roman" w:cs="Times New Roman"/>
          <w:b/>
          <w:bCs/>
          <w:sz w:val="24"/>
          <w:szCs w:val="24"/>
        </w:rPr>
        <w:t>other-than</w:t>
      </w:r>
      <w:r w:rsidR="00AF4719" w:rsidRPr="00AF4719">
        <w:rPr>
          <w:rFonts w:ascii="Times New Roman" w:hAnsi="Times New Roman" w:cs="Times New Roman"/>
          <w:b/>
          <w:bCs/>
          <w:sz w:val="24"/>
          <w:szCs w:val="24"/>
        </w:rPr>
        <w:t>-</w:t>
      </w:r>
      <w:r w:rsidR="00266A8D" w:rsidRPr="00AF4719">
        <w:rPr>
          <w:rFonts w:ascii="Times New Roman" w:hAnsi="Times New Roman" w:cs="Times New Roman"/>
          <w:b/>
          <w:bCs/>
          <w:sz w:val="24"/>
          <w:szCs w:val="24"/>
        </w:rPr>
        <w:t>sex</w:t>
      </w:r>
      <w:r w:rsidR="00AF4719" w:rsidRPr="00AF4719">
        <w:rPr>
          <w:rFonts w:ascii="Times New Roman" w:hAnsi="Times New Roman" w:cs="Times New Roman"/>
          <w:b/>
          <w:bCs/>
          <w:sz w:val="24"/>
          <w:szCs w:val="24"/>
        </w:rPr>
        <w:t xml:space="preserve"> factor presented by the employer is insufficient to avoid trial.</w:t>
      </w:r>
    </w:p>
    <w:p w14:paraId="47003ABB" w14:textId="3C7EB5F1" w:rsidR="00AF4719" w:rsidRDefault="00266A8D" w:rsidP="00AF4719">
      <w:pPr>
        <w:ind w:firstLine="0"/>
        <w:rPr>
          <w:rFonts w:ascii="Times New Roman" w:hAnsi="Times New Roman" w:cs="Times New Roman"/>
          <w:sz w:val="24"/>
          <w:szCs w:val="24"/>
        </w:rPr>
      </w:pPr>
      <w:r>
        <w:rPr>
          <w:rFonts w:ascii="Times New Roman" w:hAnsi="Times New Roman" w:cs="Times New Roman"/>
          <w:sz w:val="24"/>
          <w:szCs w:val="24"/>
        </w:rPr>
        <w:tab/>
        <w:t>The lack of gender neutrality explains the insufficiency of the other-than-sex factor. The pay grade system is faulty because it should have been based on grade, tenure, and merit. Mrs. Ris</w:t>
      </w:r>
      <w:r>
        <w:rPr>
          <w:rFonts w:ascii="Times New Roman" w:hAnsi="Times New Roman" w:cs="Times New Roman"/>
          <w:sz w:val="24"/>
          <w:szCs w:val="24"/>
        </w:rPr>
        <w:t xml:space="preserve">e </w:t>
      </w:r>
      <w:r w:rsidR="0009491C">
        <w:rPr>
          <w:rFonts w:ascii="Times New Roman" w:hAnsi="Times New Roman" w:cs="Times New Roman"/>
          <w:sz w:val="24"/>
          <w:szCs w:val="24"/>
        </w:rPr>
        <w:t>has worked in the company for quite some time, and she has significantly contributed to building several functions associated with the position</w:t>
      </w:r>
      <w:r w:rsidR="00C913A2">
        <w:rPr>
          <w:rFonts w:ascii="Times New Roman" w:hAnsi="Times New Roman" w:cs="Times New Roman"/>
          <w:sz w:val="24"/>
          <w:szCs w:val="24"/>
        </w:rPr>
        <w:t xml:space="preserve">. The pay grade system did not accommodate any additional money as per the workload. </w:t>
      </w:r>
    </w:p>
    <w:p w14:paraId="6416A9B4" w14:textId="24307771" w:rsidR="00103A92" w:rsidRPr="00103A92" w:rsidRDefault="00266A8D" w:rsidP="00103A92">
      <w:pPr>
        <w:ind w:firstLine="0"/>
        <w:jc w:val="center"/>
        <w:rPr>
          <w:rFonts w:ascii="Times New Roman" w:hAnsi="Times New Roman" w:cs="Times New Roman"/>
          <w:b/>
          <w:bCs/>
          <w:sz w:val="24"/>
          <w:szCs w:val="24"/>
        </w:rPr>
      </w:pPr>
      <w:r w:rsidRPr="00103A92">
        <w:rPr>
          <w:rFonts w:ascii="Times New Roman" w:hAnsi="Times New Roman" w:cs="Times New Roman"/>
          <w:b/>
          <w:bCs/>
          <w:sz w:val="24"/>
          <w:szCs w:val="24"/>
        </w:rPr>
        <w:t xml:space="preserve">What the employer should </w:t>
      </w:r>
      <w:r w:rsidRPr="00103A92">
        <w:rPr>
          <w:rFonts w:ascii="Times New Roman" w:hAnsi="Times New Roman" w:cs="Times New Roman"/>
          <w:b/>
          <w:bCs/>
          <w:sz w:val="24"/>
          <w:szCs w:val="24"/>
        </w:rPr>
        <w:t>have done differently</w:t>
      </w:r>
    </w:p>
    <w:p w14:paraId="7262ED09" w14:textId="7EDD4E23" w:rsidR="00103A92" w:rsidRDefault="00266A8D" w:rsidP="00103A92">
      <w:pPr>
        <w:ind w:firstLine="0"/>
        <w:rPr>
          <w:rFonts w:ascii="Times New Roman" w:hAnsi="Times New Roman" w:cs="Times New Roman"/>
          <w:sz w:val="24"/>
          <w:szCs w:val="24"/>
        </w:rPr>
      </w:pPr>
      <w:r>
        <w:rPr>
          <w:rFonts w:ascii="Times New Roman" w:hAnsi="Times New Roman" w:cs="Times New Roman"/>
          <w:sz w:val="24"/>
          <w:szCs w:val="24"/>
        </w:rPr>
        <w:tab/>
        <w:t>The QEP ought to have come up with its analysis for compensation. This would have necessitated them to consider how they could adjust the grading system</w:t>
      </w:r>
      <w:r w:rsidR="00446AF1">
        <w:rPr>
          <w:rFonts w:ascii="Times New Roman" w:hAnsi="Times New Roman" w:cs="Times New Roman"/>
          <w:sz w:val="24"/>
          <w:szCs w:val="24"/>
        </w:rPr>
        <w:t xml:space="preserve">. </w:t>
      </w:r>
      <w:r w:rsidR="00791BC3">
        <w:rPr>
          <w:rFonts w:ascii="Times New Roman" w:hAnsi="Times New Roman" w:cs="Times New Roman"/>
          <w:sz w:val="24"/>
          <w:szCs w:val="24"/>
        </w:rPr>
        <w:t>I this pay grade system was gender-neutral, it would not have been a court issue. They would have realized the tenure and merit of Mrs. Riser. Also, they would have considered the required qualifications for the position.</w:t>
      </w:r>
      <w:r w:rsidR="009200C6">
        <w:rPr>
          <w:rFonts w:ascii="Times New Roman" w:hAnsi="Times New Roman" w:cs="Times New Roman"/>
          <w:sz w:val="24"/>
          <w:szCs w:val="24"/>
        </w:rPr>
        <w:t xml:space="preserve"> When employers consider employees as assets, they tend to increase their morale towards work. Mrs. Riser was highly committed to her work in the company. She had never brought trouble in the company. She only requested pay raises which were never addressed</w:t>
      </w:r>
      <w:r w:rsidR="00507A4E" w:rsidRPr="00507A4E">
        <w:rPr>
          <w:rFonts w:ascii="Times New Roman" w:hAnsi="Times New Roman" w:cs="Times New Roman"/>
          <w:sz w:val="24"/>
          <w:szCs w:val="24"/>
        </w:rPr>
        <w:t xml:space="preserve"> </w:t>
      </w:r>
      <w:r w:rsidR="00507A4E">
        <w:rPr>
          <w:rFonts w:ascii="Times New Roman" w:hAnsi="Times New Roman" w:cs="Times New Roman"/>
          <w:sz w:val="24"/>
          <w:szCs w:val="24"/>
        </w:rPr>
        <w:t>(</w:t>
      </w:r>
      <w:r w:rsidR="00507A4E" w:rsidRPr="00507A4E">
        <w:rPr>
          <w:rFonts w:ascii="Times New Roman" w:hAnsi="Times New Roman" w:cs="Times New Roman"/>
          <w:sz w:val="24"/>
          <w:szCs w:val="24"/>
        </w:rPr>
        <w:t>Walsh,</w:t>
      </w:r>
      <w:r w:rsidR="00507A4E">
        <w:rPr>
          <w:rFonts w:ascii="Times New Roman" w:hAnsi="Times New Roman" w:cs="Times New Roman"/>
          <w:sz w:val="24"/>
          <w:szCs w:val="24"/>
        </w:rPr>
        <w:t xml:space="preserve"> </w:t>
      </w:r>
      <w:r w:rsidR="00507A4E" w:rsidRPr="00507A4E">
        <w:rPr>
          <w:rFonts w:ascii="Times New Roman" w:hAnsi="Times New Roman" w:cs="Times New Roman"/>
          <w:sz w:val="24"/>
          <w:szCs w:val="24"/>
        </w:rPr>
        <w:t>2019)</w:t>
      </w:r>
      <w:r w:rsidR="001609F3">
        <w:rPr>
          <w:rFonts w:ascii="Times New Roman" w:hAnsi="Times New Roman" w:cs="Times New Roman"/>
          <w:sz w:val="24"/>
          <w:szCs w:val="24"/>
        </w:rPr>
        <w:t>. EEOC plays a significant role in any organization. There was a need for the QEP to review their policies to match them equally with the pay act</w:t>
      </w:r>
      <w:r w:rsidR="00D57CB0">
        <w:rPr>
          <w:rFonts w:ascii="Times New Roman" w:hAnsi="Times New Roman" w:cs="Times New Roman"/>
          <w:sz w:val="24"/>
          <w:szCs w:val="24"/>
        </w:rPr>
        <w:t xml:space="preserve"> and the rules and regulations as enshrined by EEOC. This would have played a significant role in saving time and expenses. They would promote her and match her salary with her position</w:t>
      </w:r>
      <w:r w:rsidR="00507A4E" w:rsidRPr="00507A4E">
        <w:rPr>
          <w:rFonts w:ascii="Times New Roman" w:hAnsi="Times New Roman" w:cs="Times New Roman"/>
          <w:sz w:val="24"/>
          <w:szCs w:val="24"/>
        </w:rPr>
        <w:t xml:space="preserve"> </w:t>
      </w:r>
      <w:r w:rsidR="00507A4E">
        <w:rPr>
          <w:rFonts w:ascii="Times New Roman" w:hAnsi="Times New Roman" w:cs="Times New Roman"/>
          <w:sz w:val="24"/>
          <w:szCs w:val="24"/>
        </w:rPr>
        <w:t>(</w:t>
      </w:r>
      <w:r w:rsidR="00507A4E" w:rsidRPr="00507A4E">
        <w:rPr>
          <w:rFonts w:ascii="Times New Roman" w:hAnsi="Times New Roman" w:cs="Times New Roman"/>
          <w:sz w:val="24"/>
          <w:szCs w:val="24"/>
        </w:rPr>
        <w:t>ADA,</w:t>
      </w:r>
      <w:r w:rsidR="00507A4E">
        <w:rPr>
          <w:rFonts w:ascii="Times New Roman" w:hAnsi="Times New Roman" w:cs="Times New Roman"/>
          <w:sz w:val="24"/>
          <w:szCs w:val="24"/>
        </w:rPr>
        <w:t xml:space="preserve"> </w:t>
      </w:r>
      <w:r w:rsidR="00507A4E" w:rsidRPr="00507A4E">
        <w:rPr>
          <w:rFonts w:ascii="Times New Roman" w:hAnsi="Times New Roman" w:cs="Times New Roman"/>
          <w:sz w:val="24"/>
          <w:szCs w:val="24"/>
        </w:rPr>
        <w:t>2020)</w:t>
      </w:r>
      <w:r w:rsidR="00D57CB0">
        <w:rPr>
          <w:rFonts w:ascii="Times New Roman" w:hAnsi="Times New Roman" w:cs="Times New Roman"/>
          <w:sz w:val="24"/>
          <w:szCs w:val="24"/>
        </w:rPr>
        <w:t xml:space="preserve">. </w:t>
      </w:r>
    </w:p>
    <w:p w14:paraId="04353866" w14:textId="08C14852" w:rsidR="00D57CB0" w:rsidRDefault="00266A8D">
      <w:pPr>
        <w:rPr>
          <w:rFonts w:ascii="Times New Roman" w:hAnsi="Times New Roman" w:cs="Times New Roman"/>
          <w:sz w:val="24"/>
          <w:szCs w:val="24"/>
        </w:rPr>
      </w:pPr>
      <w:r>
        <w:rPr>
          <w:rFonts w:ascii="Times New Roman" w:hAnsi="Times New Roman" w:cs="Times New Roman"/>
          <w:sz w:val="24"/>
          <w:szCs w:val="24"/>
        </w:rPr>
        <w:br w:type="page"/>
      </w:r>
    </w:p>
    <w:p w14:paraId="7A002C28" w14:textId="27E5A708" w:rsidR="00D57CB0" w:rsidRPr="00D57CB0" w:rsidRDefault="00266A8D" w:rsidP="00D57CB0">
      <w:pPr>
        <w:ind w:firstLine="0"/>
        <w:jc w:val="center"/>
        <w:rPr>
          <w:rFonts w:ascii="Times New Roman" w:hAnsi="Times New Roman" w:cs="Times New Roman"/>
          <w:b/>
          <w:bCs/>
          <w:sz w:val="24"/>
          <w:szCs w:val="24"/>
        </w:rPr>
      </w:pPr>
      <w:r w:rsidRPr="00D57CB0">
        <w:rPr>
          <w:rFonts w:ascii="Times New Roman" w:hAnsi="Times New Roman" w:cs="Times New Roman"/>
          <w:b/>
          <w:bCs/>
          <w:sz w:val="24"/>
          <w:szCs w:val="24"/>
        </w:rPr>
        <w:lastRenderedPageBreak/>
        <w:t>References</w:t>
      </w:r>
    </w:p>
    <w:p w14:paraId="4561175A" w14:textId="77777777" w:rsidR="00507A4E" w:rsidRDefault="00266A8D" w:rsidP="00E34331">
      <w:pPr>
        <w:ind w:left="720" w:hanging="720"/>
        <w:rPr>
          <w:rFonts w:ascii="Times New Roman" w:hAnsi="Times New Roman" w:cs="Times New Roman"/>
          <w:sz w:val="24"/>
          <w:szCs w:val="24"/>
        </w:rPr>
      </w:pPr>
      <w:r w:rsidRPr="00D57CB0">
        <w:rPr>
          <w:rFonts w:ascii="Times New Roman" w:hAnsi="Times New Roman" w:cs="Times New Roman"/>
          <w:sz w:val="24"/>
          <w:szCs w:val="24"/>
        </w:rPr>
        <w:t>ADA, U. d. (2020). The Americans with Disabilities Act of 1990 and Revised ADA Regulations Implementing Title II and Title III. Washington: U.S Department of Justice.</w:t>
      </w:r>
    </w:p>
    <w:p w14:paraId="33BEDD74" w14:textId="031E4136" w:rsidR="00507A4E" w:rsidRDefault="00266A8D" w:rsidP="00E34331">
      <w:pPr>
        <w:ind w:left="720" w:hanging="720"/>
        <w:rPr>
          <w:rFonts w:ascii="Times New Roman" w:hAnsi="Times New Roman" w:cs="Times New Roman"/>
          <w:sz w:val="24"/>
          <w:szCs w:val="24"/>
        </w:rPr>
      </w:pPr>
      <w:r w:rsidRPr="00D57CB0">
        <w:rPr>
          <w:rFonts w:ascii="Times New Roman" w:hAnsi="Times New Roman" w:cs="Times New Roman"/>
          <w:sz w:val="24"/>
          <w:szCs w:val="24"/>
        </w:rPr>
        <w:t>RISER v. QEP ENERGY, No. 14–4025. (United States Court of Appeals,</w:t>
      </w:r>
      <w:r w:rsidR="00E34331">
        <w:rPr>
          <w:rFonts w:ascii="Times New Roman" w:hAnsi="Times New Roman" w:cs="Times New Roman"/>
          <w:sz w:val="24"/>
          <w:szCs w:val="24"/>
        </w:rPr>
        <w:t xml:space="preserve"> </w:t>
      </w:r>
      <w:r w:rsidRPr="00D57CB0">
        <w:rPr>
          <w:rFonts w:ascii="Times New Roman" w:hAnsi="Times New Roman" w:cs="Times New Roman"/>
          <w:sz w:val="24"/>
          <w:szCs w:val="24"/>
        </w:rPr>
        <w:t>Tenth</w:t>
      </w:r>
      <w:r w:rsidRPr="00D57CB0">
        <w:rPr>
          <w:rFonts w:ascii="Times New Roman" w:hAnsi="Times New Roman" w:cs="Times New Roman"/>
          <w:sz w:val="24"/>
          <w:szCs w:val="24"/>
        </w:rPr>
        <w:t xml:space="preserve"> Circuit January 27, 2015). </w:t>
      </w:r>
    </w:p>
    <w:p w14:paraId="304598E0" w14:textId="2B5695D5" w:rsidR="00D57CB0" w:rsidRPr="00AF4719" w:rsidRDefault="00266A8D" w:rsidP="00E34331">
      <w:pPr>
        <w:ind w:left="720" w:hanging="720"/>
        <w:rPr>
          <w:rFonts w:ascii="Times New Roman" w:hAnsi="Times New Roman" w:cs="Times New Roman"/>
          <w:sz w:val="24"/>
          <w:szCs w:val="24"/>
        </w:rPr>
      </w:pPr>
      <w:r w:rsidRPr="00D57CB0">
        <w:rPr>
          <w:rFonts w:ascii="Times New Roman" w:hAnsi="Times New Roman" w:cs="Times New Roman"/>
          <w:sz w:val="24"/>
          <w:szCs w:val="24"/>
        </w:rPr>
        <w:t>Walsh, D. J. (2019). Employment Law for Human Resource Practice. Boston: Cengage.</w:t>
      </w:r>
    </w:p>
    <w:sectPr w:rsidR="00D57CB0" w:rsidRPr="00AF471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9E6B8" w14:textId="77777777" w:rsidR="00266A8D" w:rsidRDefault="00266A8D">
      <w:pPr>
        <w:spacing w:after="0" w:line="240" w:lineRule="auto"/>
      </w:pPr>
      <w:r>
        <w:separator/>
      </w:r>
    </w:p>
  </w:endnote>
  <w:endnote w:type="continuationSeparator" w:id="0">
    <w:p w14:paraId="17EDAD9A" w14:textId="77777777" w:rsidR="00266A8D" w:rsidRDefault="00266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5A97A" w14:textId="77777777" w:rsidR="00266A8D" w:rsidRDefault="00266A8D">
      <w:pPr>
        <w:spacing w:after="0" w:line="240" w:lineRule="auto"/>
      </w:pPr>
      <w:r>
        <w:separator/>
      </w:r>
    </w:p>
  </w:footnote>
  <w:footnote w:type="continuationSeparator" w:id="0">
    <w:p w14:paraId="386F1A91" w14:textId="77777777" w:rsidR="00266A8D" w:rsidRDefault="00266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638268196"/>
      <w:docPartObj>
        <w:docPartGallery w:val="Page Numbers (Top of Page)"/>
        <w:docPartUnique/>
      </w:docPartObj>
    </w:sdtPr>
    <w:sdtEndPr>
      <w:rPr>
        <w:noProof/>
      </w:rPr>
    </w:sdtEndPr>
    <w:sdtContent>
      <w:p w14:paraId="1A9B8F49" w14:textId="62EB03B8" w:rsidR="003B24EE" w:rsidRPr="003B24EE" w:rsidRDefault="00266A8D">
        <w:pPr>
          <w:pStyle w:val="Header"/>
          <w:jc w:val="right"/>
          <w:rPr>
            <w:rFonts w:ascii="Times New Roman" w:hAnsi="Times New Roman" w:cs="Times New Roman"/>
            <w:sz w:val="24"/>
            <w:szCs w:val="24"/>
          </w:rPr>
        </w:pPr>
        <w:r w:rsidRPr="003B24EE">
          <w:rPr>
            <w:rFonts w:ascii="Times New Roman" w:hAnsi="Times New Roman" w:cs="Times New Roman"/>
            <w:sz w:val="24"/>
            <w:szCs w:val="24"/>
          </w:rPr>
          <w:fldChar w:fldCharType="begin"/>
        </w:r>
        <w:r w:rsidRPr="003B24EE">
          <w:rPr>
            <w:rFonts w:ascii="Times New Roman" w:hAnsi="Times New Roman" w:cs="Times New Roman"/>
            <w:sz w:val="24"/>
            <w:szCs w:val="24"/>
          </w:rPr>
          <w:instrText xml:space="preserve"> PAGE   \* MERGEFORMAT </w:instrText>
        </w:r>
        <w:r w:rsidRPr="003B24EE">
          <w:rPr>
            <w:rFonts w:ascii="Times New Roman" w:hAnsi="Times New Roman" w:cs="Times New Roman"/>
            <w:sz w:val="24"/>
            <w:szCs w:val="24"/>
          </w:rPr>
          <w:fldChar w:fldCharType="separate"/>
        </w:r>
        <w:r w:rsidRPr="003B24EE">
          <w:rPr>
            <w:rFonts w:ascii="Times New Roman" w:hAnsi="Times New Roman" w:cs="Times New Roman"/>
            <w:noProof/>
            <w:sz w:val="24"/>
            <w:szCs w:val="24"/>
          </w:rPr>
          <w:t>2</w:t>
        </w:r>
        <w:r w:rsidRPr="003B24EE">
          <w:rPr>
            <w:rFonts w:ascii="Times New Roman" w:hAnsi="Times New Roman" w:cs="Times New Roman"/>
            <w:noProof/>
            <w:sz w:val="24"/>
            <w:szCs w:val="24"/>
          </w:rPr>
          <w:fldChar w:fldCharType="end"/>
        </w:r>
      </w:p>
    </w:sdtContent>
  </w:sdt>
  <w:p w14:paraId="45F55734" w14:textId="77777777" w:rsidR="003B24EE" w:rsidRPr="003B24EE" w:rsidRDefault="003B24EE">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CE"/>
    <w:rsid w:val="0009491C"/>
    <w:rsid w:val="00103A92"/>
    <w:rsid w:val="001609F3"/>
    <w:rsid w:val="00195AAB"/>
    <w:rsid w:val="00254F5B"/>
    <w:rsid w:val="00266A8D"/>
    <w:rsid w:val="003928D8"/>
    <w:rsid w:val="003B24EE"/>
    <w:rsid w:val="003C30E2"/>
    <w:rsid w:val="00446AF1"/>
    <w:rsid w:val="004657CE"/>
    <w:rsid w:val="004F5622"/>
    <w:rsid w:val="00507A4E"/>
    <w:rsid w:val="006C5995"/>
    <w:rsid w:val="00791BC3"/>
    <w:rsid w:val="007E21C7"/>
    <w:rsid w:val="008A52B7"/>
    <w:rsid w:val="009200C6"/>
    <w:rsid w:val="00A711FF"/>
    <w:rsid w:val="00AF4719"/>
    <w:rsid w:val="00B14333"/>
    <w:rsid w:val="00C13E30"/>
    <w:rsid w:val="00C913A2"/>
    <w:rsid w:val="00CC4617"/>
    <w:rsid w:val="00D57CB0"/>
    <w:rsid w:val="00E34331"/>
    <w:rsid w:val="00E659EE"/>
    <w:rsid w:val="00FB5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39BEE"/>
  <w15:chartTrackingRefBased/>
  <w15:docId w15:val="{83CCF934-81BC-4D49-8244-63C362B97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24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24EE"/>
  </w:style>
  <w:style w:type="paragraph" w:styleId="Footer">
    <w:name w:val="footer"/>
    <w:basedOn w:val="Normal"/>
    <w:link w:val="FooterChar"/>
    <w:uiPriority w:val="99"/>
    <w:unhideWhenUsed/>
    <w:rsid w:val="003B24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24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439</TotalTime>
  <Pages>4</Pages>
  <Words>597</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2021-10-31T21:40:00Z</dcterms:created>
  <dcterms:modified xsi:type="dcterms:W3CDTF">2021-11-01T05:06:00Z</dcterms:modified>
</cp:coreProperties>
</file>